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333333"/>
          <w:spacing w:val="0"/>
          <w:kern w:val="44"/>
          <w:sz w:val="43"/>
          <w:szCs w:val="43"/>
          <w:shd w:val="clear" w:fill="FFFFFF"/>
          <w:lang w:val="en-US" w:eastAsia="zh-CN" w:bidi="ar"/>
        </w:rPr>
      </w:pPr>
      <w:r>
        <w:rPr>
          <w:rFonts w:hint="eastAsia" w:ascii="微软雅黑" w:hAnsi="微软雅黑" w:eastAsia="微软雅黑" w:cs="微软雅黑"/>
          <w:b/>
          <w:bCs/>
          <w:i w:val="0"/>
          <w:iCs w:val="0"/>
          <w:caps w:val="0"/>
          <w:color w:val="333333"/>
          <w:spacing w:val="0"/>
          <w:kern w:val="44"/>
          <w:sz w:val="43"/>
          <w:szCs w:val="43"/>
          <w:shd w:val="clear" w:fill="FFFFFF"/>
          <w:lang w:val="en-US" w:eastAsia="zh-CN" w:bidi="ar"/>
        </w:rPr>
        <w:t>加快建设科技强国 实现高水平科技</w:t>
      </w:r>
    </w:p>
    <w:p>
      <w:pPr>
        <w:jc w:val="center"/>
        <w:rPr>
          <w:rFonts w:hint="eastAsia" w:ascii="微软雅黑" w:hAnsi="微软雅黑" w:eastAsia="微软雅黑" w:cs="微软雅黑"/>
          <w:b/>
          <w:bCs/>
          <w:i w:val="0"/>
          <w:iCs w:val="0"/>
          <w:caps w:val="0"/>
          <w:color w:val="333333"/>
          <w:spacing w:val="0"/>
          <w:kern w:val="44"/>
          <w:sz w:val="43"/>
          <w:szCs w:val="43"/>
          <w:shd w:val="clear" w:fill="FFFFFF"/>
          <w:lang w:val="en-US" w:eastAsia="zh-CN" w:bidi="ar"/>
        </w:rPr>
      </w:pPr>
      <w:r>
        <w:rPr>
          <w:rFonts w:hint="eastAsia" w:ascii="微软雅黑" w:hAnsi="微软雅黑" w:eastAsia="微软雅黑" w:cs="微软雅黑"/>
          <w:b/>
          <w:bCs/>
          <w:i w:val="0"/>
          <w:iCs w:val="0"/>
          <w:caps w:val="0"/>
          <w:color w:val="333333"/>
          <w:spacing w:val="0"/>
          <w:kern w:val="44"/>
          <w:sz w:val="43"/>
          <w:szCs w:val="43"/>
          <w:shd w:val="clear" w:fill="FFFFFF"/>
          <w:lang w:val="en-US" w:eastAsia="zh-CN" w:bidi="ar"/>
        </w:rPr>
        <w:t>自立自强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88" w:afterAutospacing="0" w:line="384" w:lineRule="atLeast"/>
        <w:ind w:left="0" w:right="0" w:firstLine="420"/>
        <w:jc w:val="center"/>
        <w:rPr>
          <w:rFonts w:hint="eastAsia" w:ascii="微软雅黑" w:hAnsi="微软雅黑" w:eastAsia="微软雅黑" w:cs="微软雅黑"/>
          <w:b/>
          <w:bCs/>
          <w:i w:val="0"/>
          <w:iCs w:val="0"/>
          <w:caps w:val="0"/>
          <w:color w:val="333333"/>
          <w:spacing w:val="0"/>
          <w:kern w:val="44"/>
          <w:sz w:val="43"/>
          <w:szCs w:val="43"/>
          <w:shd w:val="clear" w:fill="FFFFFF"/>
          <w:lang w:val="en-US" w:eastAsia="zh-CN" w:bidi="ar"/>
        </w:rPr>
      </w:pPr>
      <w:r>
        <w:rPr>
          <w:rFonts w:hint="eastAsia" w:ascii="仿宋_GB2312" w:eastAsia="仿宋_GB2312" w:hAnsiTheme="minorHAnsi" w:cstheme="minorBidi"/>
          <w:kern w:val="2"/>
          <w:sz w:val="32"/>
          <w:szCs w:val="32"/>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2021年5月28日，中国科学院第二十次院士大会、中国工程院第十五次院士大会和中国科学技术协会第十次全国代表大会在北京人民大会堂隆重召开。中共中央总书记、国家主席、中央军委主席习近平出席大会并发表重要讲话，内容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首先，我代表党中央，向大会的召开，表示热烈的祝贺！向在各个岗位辛勤奉献的科技工作者，致以诚挚的慰问！5月30日是第五个全国科技工作者日，我向全国广大科技工作者，致以节日的问候！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党的十九大以来，党中央全面分析国际科技创新竞争态势，深入研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高端产业取得新突破。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w:t>
      </w:r>
      <w:bookmarkStart w:id="0" w:name="_GoBack"/>
      <w:bookmarkEnd w:id="0"/>
      <w:r>
        <w:rPr>
          <w:rFonts w:hint="eastAsia" w:ascii="仿宋_GB2312" w:eastAsia="仿宋_GB2312"/>
          <w:sz w:val="32"/>
          <w:szCs w:val="32"/>
          <w:lang w:val="en-US" w:eastAsia="zh-CN"/>
        </w:rPr>
        <w:t>改善。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——国防科技创新取得重大成就。国防科技有力支撑重大武器装备研制发展，首艘国产航母下水，第五代战机歼20正式服役。东风–17弹道导弹研制成功，我国在高超音速武器方面走在前列。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各位院士，同志们、朋友们！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今世界百年未有之大变局加速演进，国际环境错综复杂，世界经济陷入低迷期，全球产业链供应链面临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创新链产业链融合，关键是要确立企业创新主体地位。要增强企业创新动力，正向激励企业创新，反向倒逼企业创新。要发挥企业出题者作用，推进重点项目协同和研发活动一体化，加快构建龙头企业牵头、高校院所支撑、各创新主体相互协同的创新联合体，发展高效强大的共性技术供给体系，提高科技成果转移转化成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国家实验室要按照“四个面向”的要求，紧跟世界科技发展大势，适应我国发展对科技发展提出的使命任务，多出战略性、关键性重大科技成果，并同国家重点实验室结合，形成中国特色国家实验室体系。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国家科研机构要以国家战略需求为导向，着力解决影响制约国家发展全局和长远利益的重大科技问题，加快建设原始创新策源地，加快突破关键核心技术。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作出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技是发展的利器，也可能成为风险的源头。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第五，激发各类人才创新活力，建设全球人才高地。世界科技强国必须能够在全球范围内吸引人才、留住人才、用好人才。我国要实现高水平科技自立自强，归根结底要靠高水平创新人才。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各位院士，同志们、朋友们！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这里，我给院士们提几点希望。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希望广大院士做胸怀祖国、服务人民的表率。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希望广大院士做追求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希望广大院士做坚守学术道德、严谨治学的表率。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各级党委和政府要充分尊重人才，对院士要政治上关怀、工作上支持、生活上关心，认真听取包括院士在内的广大科研人员意见，加强对科研活动的科学管理和服务保障，为科研人员创造良好创新环境。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各位院士，同志们、朋友们！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全面建设社会主义现代化国家新征程已经开启，向第二个百年奋斗目标进军的号角已经吹响。让我们团结起来，勇于创新、顽强拼搏，为建成世界科技强国、实现中华民族伟大复兴不断作出新的更大贡献！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jE2NmZjZDI2Zjg0ZDM2MmNkN2VjZjBmYTliNzYifQ=="/>
  </w:docVars>
  <w:rsids>
    <w:rsidRoot w:val="4A8741BD"/>
    <w:rsid w:val="0FAB5FC4"/>
    <w:rsid w:val="1B70563E"/>
    <w:rsid w:val="4A8741BD"/>
    <w:rsid w:val="69FA0436"/>
    <w:rsid w:val="7A2E34E6"/>
    <w:rsid w:val="7D64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2023-11-24T02:52:00Z</dcterms:created>
  <dc:creator>于帅</dc:creator>
  <cp:lastModifiedBy>于帅</cp:lastModifiedBy>
  <dcterms:modified xsi:type="dcterms:W3CDTF">2023-11-28T02:27:15Z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DC7D0BE6CCAA42058333545650F3A341_13</vt:lpwstr>
  </property>
</Properties>
</file>